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Oregon Frontier Chamber of Commerce</w:t>
      </w:r>
    </w:p>
    <w:tbl>
      <w:tblPr>
        <w:tblStyle w:val="Table1"/>
        <w:tblW w:w="10710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5745"/>
        <w:tblGridChange w:id="0">
          <w:tblGrid>
            <w:gridCol w:w="4965"/>
            <w:gridCol w:w="574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January 2024 Board Meeting Agenda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Date: January 11, 2024 - Time: 8:30 AM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Participants: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2670"/>
        <w:gridCol w:w="6015"/>
        <w:tblGridChange w:id="0">
          <w:tblGrid>
            <w:gridCol w:w="2025"/>
            <w:gridCol w:w="2670"/>
            <w:gridCol w:w="60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                 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Detail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Action/Notes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Call to Order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Establish Quorum 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Approve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November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Meeting Minutes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br w:type="textWrapping"/>
            </w:r>
          </w:p>
        </w:tc>
      </w:tr>
      <w:tr>
        <w:trPr>
          <w:cantSplit w:val="0"/>
          <w:trHeight w:val="544.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Treasurer's Report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Discussion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Management Report sent in Board Packet.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Directors Report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Update from the Chamber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Profile Views - 154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people asked for directions-43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website visits-43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phone calls-5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Searches-22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September Sales - $2,283.74  (17 new CC customers)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October Sales - $2,109.80 (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9 new &amp; 9 returning CC customers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November Sales - $2,792 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(17 new &amp; 6 returning CC customers)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December Sales - $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6,218 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(35 new &amp; 21 returning CC customers)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Merriweather" w:cs="Merriweather" w:eastAsia="Merriweather" w:hAnsi="Merriweather"/>
                <w:sz w:val="12"/>
                <w:szCs w:val="1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2023 Recap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 - 378 CC transactions, 282 CC customers,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$32,794.11 total $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Membership: 460</w:t>
              <w:br w:type="textWrapping"/>
              <w:t xml:space="preserve">New Members: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Bob's Texas T-Bone 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Nick’s Maintenance Service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Morrow County Health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4th of July Fireworks 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Need to remove Eilene Flory from bank accounts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Need to vote in a new treasurer/move them to be added to the bank accounts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Building relocation - “Sage &amp; Stone Spa”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Update on Dunn Bro building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Membership Drive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Governor's Conference on Tourism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Destination Development Bootcamp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Contact Information for Board Members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EOVA Visitor Guide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Staff/Ambassador Updates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Ambassador Reports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Autumn Ackerman - Student Worker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Updates/Events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Fall Festival - $3,900 tracked sales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Shop Local Campaign 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Light Festival &amp; Parade 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Holiday Bazaars | Fossil, Sherman, Arlington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Business of the Year Awards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Annual Meeting</w:t>
            </w:r>
          </w:p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Main Street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Applying for Technical Assistance grant</w:t>
            </w:r>
          </w:p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OR Main St to host a virtual session on funding opportunities in January 2024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Grants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GC Small Business Grant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Second Stories Grant  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Amount Requested in 2023: 430,500.00</w:t>
              <w:br w:type="textWrapping"/>
              <w:t xml:space="preserve">Amount Funded: $142,005</w:t>
              <w:br w:type="textWrapping"/>
              <w:t xml:space="preserve">Available balance  $14,500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No update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Travel Oregon's Accessibility Grant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GC Cultural Coalition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OFCC Facade Grant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Business OR ROI</w:t>
            </w:r>
          </w:p>
        </w:tc>
      </w:tr>
      <w:tr>
        <w:trPr>
          <w:cantSplit w:val="0"/>
          <w:trHeight w:val="307.800000000000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Pending Projects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Blue Mountain Scenic Byway Kiosk and Signage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Hospitality Bags</w:t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Community Maps </w:t>
            </w:r>
          </w:p>
        </w:tc>
      </w:tr>
      <w:tr>
        <w:trPr>
          <w:cantSplit w:val="0"/>
          <w:trHeight w:val="307.800000000000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Correspondence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Western States Junior Rodeo</w:t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6th/7th Grade Class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Sherman County Education Foundation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Shop Local Promotion Winners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Good of the Order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What’s New-Open Floor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Merriweather" w:cs="Merriweather" w:eastAsia="Merriweather" w:hAnsi="Merriweathe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Next Meeting  February 22, 2024 - Annual Meeting</w:t>
      </w:r>
    </w:p>
    <w:p w:rsidR="00000000" w:rsidDel="00000000" w:rsidP="00000000" w:rsidRDefault="00000000" w:rsidRPr="00000000" w14:paraId="00000077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7649.96484374999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8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ookman Old Style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20" w:before="0" w:line="240" w:lineRule="auto"/>
      <w:ind w:left="0" w:right="36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widowControl w:val="0"/>
      <w:spacing w:after="0" w:lineRule="auto"/>
      <w:ind w:hanging="270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ora" w:cs="Lora" w:eastAsia="Lora" w:hAnsi="Lora"/>
        <w:b w:val="1"/>
        <w:sz w:val="22"/>
        <w:szCs w:val="22"/>
      </w:rPr>
      <w:drawing>
        <wp:inline distB="114300" distT="114300" distL="114300" distR="114300">
          <wp:extent cx="1156094" cy="7762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6094" cy="776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before="60" w:lineRule="auto"/>
      <w:jc w:val="center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+VUbVCH1l2SnYVVBNt6yjBzg4g==">CgMxLjA4AHIhMXR1ekVpeUU0WV9FckVwR3psSTJlYjlwajc0LVNtcTlG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